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C9E0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sz w:val="32"/>
          <w:szCs w:val="32"/>
          <w:shd w:val="clear" w:color="auto" w:fill="FFFFFF"/>
        </w:rPr>
      </w:pPr>
    </w:p>
    <w:p w14:paraId="27F9BE6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firstLine="482"/>
        <w:jc w:val="center"/>
        <w:textAlignment w:val="auto"/>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四川艺术基金大型舞台剧和作品初创资助</w:t>
      </w:r>
    </w:p>
    <w:p w14:paraId="683A967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ind w:firstLine="482"/>
        <w:jc w:val="center"/>
        <w:textAlignment w:val="auto"/>
        <w:rPr>
          <w:rStyle w:val="7"/>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shd w:val="clear" w:color="auto" w:fill="FFFFFF"/>
        </w:rPr>
        <w:t>项目经费使用细则（试行）</w:t>
      </w:r>
    </w:p>
    <w:p w14:paraId="477778C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sz w:val="32"/>
          <w:szCs w:val="32"/>
        </w:rPr>
      </w:pPr>
    </w:p>
    <w:p w14:paraId="403E7D8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第一章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总则</w:t>
      </w:r>
    </w:p>
    <w:p w14:paraId="76DE615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为进一步规范和加强四川艺术基金（以下简称“艺术基金”）大型舞</w:t>
      </w:r>
      <w:bookmarkStart w:id="0" w:name="_GoBack"/>
      <w:bookmarkEnd w:id="0"/>
      <w:r>
        <w:rPr>
          <w:rFonts w:hint="eastAsia" w:ascii="仿宋_GB2312" w:hAnsi="仿宋_GB2312" w:eastAsia="仿宋_GB2312" w:cs="仿宋_GB2312"/>
          <w:sz w:val="32"/>
          <w:szCs w:val="32"/>
        </w:rPr>
        <w:t>台剧和作品初创资助项目经费使用，提高资金使用效益，根据《中共四川省委四川省人民政府关于全面实施预算绩效管理的实施意见》《四川艺术基金章程》《四川艺术基金财务管理办法》及国家有关财务规章制度规定，制定本细则。</w:t>
      </w:r>
    </w:p>
    <w:p w14:paraId="38DD8E4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艺术基金的资金，</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来自四川省级财政拨款。</w:t>
      </w:r>
    </w:p>
    <w:p w14:paraId="60FD7B4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本细则所称项目经费，是指艺术基金用于资助大型舞台剧和作品</w:t>
      </w:r>
      <w:r>
        <w:rPr>
          <w:rFonts w:hint="eastAsia" w:ascii="仿宋_GB2312" w:hAnsi="仿宋_GB2312" w:eastAsia="仿宋_GB2312" w:cs="仿宋_GB2312"/>
          <w:sz w:val="32"/>
          <w:szCs w:val="32"/>
          <w:lang w:val="en-US" w:eastAsia="zh-CN"/>
        </w:rPr>
        <w:t>初期</w:t>
      </w:r>
      <w:r>
        <w:rPr>
          <w:rFonts w:hint="eastAsia" w:ascii="仿宋_GB2312" w:hAnsi="仿宋_GB2312" w:eastAsia="仿宋_GB2312" w:cs="仿宋_GB2312"/>
          <w:sz w:val="32"/>
          <w:szCs w:val="32"/>
        </w:rPr>
        <w:t>创作生产及完成规定场次演出活动的专项经费。</w:t>
      </w:r>
    </w:p>
    <w:p w14:paraId="7D9A18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项目经费管理和使用各方应承担如下责任：</w:t>
      </w:r>
    </w:p>
    <w:p w14:paraId="55514E6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（一）四川艺术基金理事会作为艺术基金的决策机构，承担年度资助方案的审定和项目经费使用情况的审查职责。</w:t>
      </w:r>
    </w:p>
    <w:p w14:paraId="791D523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（二）四川艺术基金专家库专家承担咨询、评审、监督等相关职责。</w:t>
      </w:r>
    </w:p>
    <w:p w14:paraId="0B5CC75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艺术基金中心和各市州文旅局作为艺术基金管理和组织实施单位，承担对申报实施项目的政治导向管理、项目质量管理和经费使用的直接监督指导责任。</w:t>
      </w:r>
    </w:p>
    <w:p w14:paraId="557AF63A">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（四）项目主体按照“谁申报谁负责、谁实施谁负责”的原则，承担对申报实施项目的政治导向管理、项目质量管理和经费使用的主体责任。</w:t>
      </w:r>
    </w:p>
    <w:p w14:paraId="36F7272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Style w:val="7"/>
          <w:rFonts w:hint="eastAsia" w:ascii="仿宋_GB2312" w:hAnsi="仿宋_GB2312" w:eastAsia="仿宋_GB2312" w:cs="仿宋_GB2312"/>
          <w:sz w:val="32"/>
          <w:szCs w:val="32"/>
        </w:rPr>
        <w:t>第五条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大型舞台剧和作品初创资助项目实行匹配资助。</w:t>
      </w:r>
    </w:p>
    <w:p w14:paraId="360DBCA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对于立项资助项目，成本补偿额度</w:t>
      </w:r>
      <w:r>
        <w:rPr>
          <w:rFonts w:hint="eastAsia" w:ascii="仿宋_GB2312" w:hAnsi="仿宋_GB2312" w:eastAsia="仿宋_GB2312" w:cs="仿宋_GB2312"/>
          <w:kern w:val="0"/>
          <w:sz w:val="32"/>
          <w:szCs w:val="32"/>
          <w:lang w:val="en-US" w:eastAsia="zh-CN"/>
        </w:rPr>
        <w:t>原则上</w:t>
      </w:r>
      <w:r>
        <w:rPr>
          <w:rFonts w:hint="eastAsia" w:ascii="仿宋_GB2312" w:hAnsi="仿宋_GB2312" w:eastAsia="仿宋_GB2312" w:cs="仿宋_GB2312"/>
          <w:kern w:val="0"/>
          <w:sz w:val="32"/>
          <w:szCs w:val="32"/>
        </w:rPr>
        <w:t>不高于项目核定总成本预算额度的50％。</w:t>
      </w:r>
    </w:p>
    <w:p w14:paraId="7D13581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项目主体申报时须提供已落实经费与资源配套证明，如银行存款证明、贷款协议或贷款意向函、与资金提供单位的合作意向书、政府有关部门的文件证明等。</w:t>
      </w:r>
    </w:p>
    <w:p w14:paraId="5303C4B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项目经费管理和使用执行如下原则：</w:t>
      </w:r>
    </w:p>
    <w:p w14:paraId="41D929D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（一）科学安排，合理配置。项目主体应严格按照项目的实施计划和目标任务，科学合理地编制和安排预算。严格会议、差旅、培训等预算管理，控制相关支出规模。</w:t>
      </w:r>
    </w:p>
    <w:p w14:paraId="2A8809A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（二）权责明确，讲求绩效。项目经费管理各方应权责明确，各负其责，加强对项目经费全过程绩效管理，提高资金使用效益。</w:t>
      </w:r>
    </w:p>
    <w:p w14:paraId="3D308E13">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（三）单独核算，专款专用。项目经费应当纳入项目主体财务，统一管理，单独核算，确保专款专用。</w:t>
      </w:r>
    </w:p>
    <w:p w14:paraId="36FA83E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（四）一次核定，分期支付。项目经费根据项目类型、艺术门类的创作规律及实际情况，按程序一次核定，按70％、30％的比例分立项款、结项款两批次支付经费。</w:t>
      </w:r>
    </w:p>
    <w:p w14:paraId="15C211F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rFonts w:hint="eastAsia" w:ascii="仿宋_GB2312" w:hAnsi="仿宋_GB2312" w:eastAsia="仿宋_GB2312" w:cs="仿宋_GB2312"/>
          <w:b w:val="0"/>
          <w:bCs w:val="0"/>
          <w:sz w:val="32"/>
          <w:szCs w:val="32"/>
        </w:rPr>
      </w:pPr>
    </w:p>
    <w:p w14:paraId="6F023D67">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第二章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项目经费开支范围</w:t>
      </w:r>
    </w:p>
    <w:p w14:paraId="14AD9A91">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项目经费支出是指与项目组织实施活动相关的、由项目资金支付的各项费用支出。项目经费分为直接费用和间接费用。</w:t>
      </w:r>
    </w:p>
    <w:p w14:paraId="571ED62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直接费用是指在项目实施过程中发生的与之直接相关的费用，包括创作费、制作费、排练演出费三个一级科目。</w:t>
      </w:r>
    </w:p>
    <w:p w14:paraId="30A8561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创作费是指在大型舞台剧和作品初创过程中发生的各项费用。包括</w:t>
      </w:r>
      <w:r>
        <w:rPr>
          <w:rFonts w:hint="eastAsia" w:ascii="仿宋_GB2312" w:hAnsi="仿宋_GB2312" w:eastAsia="仿宋_GB2312" w:cs="仿宋_GB2312"/>
          <w:sz w:val="32"/>
          <w:szCs w:val="32"/>
          <w:lang w:eastAsia="zh-CN"/>
        </w:rPr>
        <w:t>：</w:t>
      </w:r>
    </w:p>
    <w:p w14:paraId="5E5997D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（一）编剧（含改编移植）费：指编剧进行剧本创作、改编、移植的费用；</w:t>
      </w:r>
    </w:p>
    <w:p w14:paraId="5709D1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（二）作曲（含编曲、唱腔设计）费：指作曲家对舞台演出中的音乐进行乐谱编排或有组织化的音响设计创作的费用；</w:t>
      </w:r>
    </w:p>
    <w:p w14:paraId="19B09F1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（三）导演（含编导、指挥）费：指导演、音乐及舞蹈编导、乐队指挥将剧本、曲谱、设计图内容转化为舞台形象，并编排形成完整舞台演出的费用；</w:t>
      </w:r>
    </w:p>
    <w:p w14:paraId="497A084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（四）舞台美术设计费：指置景、灯光、音响、服装、道具、化妆以及多媒体视觉等所有舞台景观呈现过程中发生的设计费用；</w:t>
      </w:r>
    </w:p>
    <w:p w14:paraId="5177A7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（五）表演创作费：指演员塑造舞台艺术形象，进行审美意象创造的费用；</w:t>
      </w:r>
    </w:p>
    <w:p w14:paraId="3D0EE47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（六）前期论证费：指演出主创、专家在制作前对剧本、导演阐述、舞台构思等重要内容进行论证的费用；</w:t>
      </w:r>
    </w:p>
    <w:p w14:paraId="37196D1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（七）后期修改费：指首演结束后组织专家针对剧目演出具体细节元素进行研讨和加工修改提高的费用。</w:t>
      </w:r>
    </w:p>
    <w:p w14:paraId="45C41F4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制作费是指在大型舞台剧和作品初创过程中发生的各项费用。包括：</w:t>
      </w:r>
    </w:p>
    <w:p w14:paraId="5554212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（一）舞台美术制作费：指置景、灯光、音响、服装、道具、化妆以及多媒体视觉等所有舞台景观呈现过程中发生的设备租用与制作费用；</w:t>
      </w:r>
    </w:p>
    <w:p w14:paraId="2C5585B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（二）音乐制作费：指音乐素材采集、编配、制作、合成（录音、乐队演奏、录音棚租用及合成、混音、MIDI小样制作等）费用。</w:t>
      </w:r>
    </w:p>
    <w:p w14:paraId="63E5E77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排练演出费是指在</w:t>
      </w:r>
      <w:r>
        <w:rPr>
          <w:rFonts w:hint="eastAsia" w:ascii="仿宋_GB2312" w:hAnsi="仿宋_GB2312" w:eastAsia="仿宋_GB2312" w:cs="仿宋_GB2312"/>
          <w:sz w:val="32"/>
          <w:szCs w:val="32"/>
          <w:lang w:val="en-US" w:eastAsia="zh-CN"/>
        </w:rPr>
        <w:t>初创</w:t>
      </w:r>
      <w:r>
        <w:rPr>
          <w:rFonts w:hint="eastAsia" w:ascii="仿宋_GB2312" w:hAnsi="仿宋_GB2312" w:eastAsia="仿宋_GB2312" w:cs="仿宋_GB2312"/>
          <w:sz w:val="32"/>
          <w:szCs w:val="32"/>
        </w:rPr>
        <w:t>大型舞台剧和作品排练演出过程中发生的各项费用。包括：</w:t>
      </w:r>
    </w:p>
    <w:p w14:paraId="7DBB785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（一）租赁费：指排练演出期间所需要的租赁费用，如场地、器材、设备、服装、道具等；</w:t>
      </w:r>
    </w:p>
    <w:p w14:paraId="73E4B3A1">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（二）运输费：指舞台设备在进、出剧场期间的运输费用和运输过程中发生的保险费用；</w:t>
      </w:r>
    </w:p>
    <w:p w14:paraId="40D8627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（三）差旅费：指排练演出期间发生的相关人员的城市间飞机、火车、轮船或租用车辆的费用、市内交通费、住宿费和伙食费；</w:t>
      </w:r>
    </w:p>
    <w:p w14:paraId="780C811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（四）宣传费：指剧本、导演手记等资料印刷出版以及海报、宣传册、媒体报道等宣传活动的费用；</w:t>
      </w:r>
    </w:p>
    <w:p w14:paraId="44774D7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（五）录音录像费：指排练演出期间发生的录音、录像以及后期剪辑、音像成品制作等费用。</w:t>
      </w:r>
    </w:p>
    <w:p w14:paraId="72902DB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直接费用下各科目应在相应的标准内支出，实行分科目控制。</w:t>
      </w:r>
    </w:p>
    <w:p w14:paraId="174FE8A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间接费用是指项目主体在组织实施项目过程中发生的无法在直接费用中列支的相关费用。用于项目实施所产生的相关税费、专项审计费用等。</w:t>
      </w:r>
    </w:p>
    <w:p w14:paraId="3957841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间接费用实行总额控制，不得超过资助资金总额的5％。</w:t>
      </w:r>
    </w:p>
    <w:p w14:paraId="26CDF3F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34CA33B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第三章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项目经费预算编制和支付</w:t>
      </w:r>
    </w:p>
    <w:p w14:paraId="226E33F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14:paraId="55C4464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经费预算编制应坚持目标相关性、政策相符性和支出合理性原则，由项目主体财务部门与业务部门共同编制。</w:t>
      </w:r>
    </w:p>
    <w:p w14:paraId="4B5AAE5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艺术基金中心组织专家综合艺术门类、规模体量、主题题材、成本投入等因素，对申报项目预算进行核定，提出建议资助金额，报四川艺术基金理事会审议和四川省文化和旅游厅审定。</w:t>
      </w:r>
    </w:p>
    <w:p w14:paraId="49E3D57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项目主体应根据批复后的资助金额调整项目预算方案，并与四川省艺术基金中心签定《四川艺术基金资助项目协议书》。</w:t>
      </w:r>
    </w:p>
    <w:p w14:paraId="3F4B774B">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第十九条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四川省艺术基金中心与项目主体签定《四川艺术基金资助项目协议书》后，支付立项经费。结合项目监督和结项验收情况，支付项目后续经费。项目经费的支付按照国库集中支付制度有关规定执行。</w:t>
      </w:r>
    </w:p>
    <w:p w14:paraId="30DDD3D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65C64D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第四章</w:t>
      </w:r>
      <w:r>
        <w:rPr>
          <w:rStyle w:val="7"/>
          <w:rFonts w:hint="eastAsia" w:ascii="黑体" w:hAnsi="黑体" w:eastAsia="黑体" w:cs="黑体"/>
          <w:b w:val="0"/>
          <w:bCs w:val="0"/>
          <w:sz w:val="32"/>
          <w:szCs w:val="32"/>
          <w:lang w:val="en-US" w:eastAsia="zh-CN"/>
        </w:rPr>
        <w:t xml:space="preserve"> </w:t>
      </w:r>
      <w:r>
        <w:rPr>
          <w:rStyle w:val="7"/>
          <w:rFonts w:hint="eastAsia" w:ascii="黑体" w:hAnsi="黑体" w:eastAsia="黑体" w:cs="黑体"/>
          <w:b w:val="0"/>
          <w:bCs w:val="0"/>
          <w:sz w:val="32"/>
          <w:szCs w:val="32"/>
        </w:rPr>
        <w:t>项目经费管理与监督</w:t>
      </w:r>
    </w:p>
    <w:p w14:paraId="12A91A7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项目主体须严格按照预算执行。各科目支出额度，一般不予调整，确需调整的严格履行相关程序。</w:t>
      </w:r>
    </w:p>
    <w:p w14:paraId="4362750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（一）科目限额内的预算调整，履行备案程序；</w:t>
      </w:r>
    </w:p>
    <w:p w14:paraId="6F64A72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（二）科目限额外的预算调整，应按程序报四川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艺术基金中心，由</w:t>
      </w:r>
      <w:r>
        <w:rPr>
          <w:rFonts w:hint="eastAsia" w:ascii="仿宋_GB2312" w:hAnsi="仿宋_GB2312" w:eastAsia="仿宋_GB2312" w:cs="仿宋_GB2312"/>
          <w:sz w:val="32"/>
          <w:szCs w:val="32"/>
          <w:lang w:val="en-US" w:eastAsia="zh-CN"/>
        </w:rPr>
        <w:t>省艺术基金</w:t>
      </w:r>
      <w:r>
        <w:rPr>
          <w:rFonts w:hint="eastAsia" w:ascii="仿宋_GB2312" w:hAnsi="仿宋_GB2312" w:eastAsia="仿宋_GB2312" w:cs="仿宋_GB2312"/>
          <w:sz w:val="32"/>
          <w:szCs w:val="32"/>
        </w:rPr>
        <w:t>中心组织专家予以核定。</w:t>
      </w:r>
    </w:p>
    <w:p w14:paraId="6F0E53C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第二十一条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项目经费支出过程中，属于政府采购范围的，按照政府采购有关法律法规和制度规定执行。对于交通费、住宿费等国家已出台相关支出标准的，参照国家规定的标准执行。</w:t>
      </w:r>
    </w:p>
    <w:p w14:paraId="321D90F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第二十二条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项目经费不得用于支付各种罚款、捐款、赞助、投资等支出，不得用于项目主体行政事务管理工作支出，不得用于国家规定禁止列支的其他支出。</w:t>
      </w:r>
    </w:p>
    <w:p w14:paraId="0A57ABF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第二十三条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项目实施期间，项目主体应定期将项目预算执行情况报送四川省艺术基金中心。</w:t>
      </w:r>
    </w:p>
    <w:p w14:paraId="624914E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第二十四条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项目完成后，项目主体应根据四川省艺术基金中心结项验收有关规定，编报项目结项材料。</w:t>
      </w:r>
    </w:p>
    <w:p w14:paraId="7E5ACEB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第二十五条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项目通过结项验收后，尚未用完的经费，应按原渠道退回，退回资金按照财政部关于结余资金管理的有关规定执行。</w:t>
      </w:r>
    </w:p>
    <w:p w14:paraId="4ECA205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第二十六条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四川省艺术基金中心对违反本细则及四川艺术基金其他有关管理规定的项目主体，视情节轻重分别采取书面警告、通报批评、停止拨款、撤销项目、追回全部已拨经费、暂停或取消申报资格等处理措施。</w:t>
      </w:r>
    </w:p>
    <w:p w14:paraId="5EBC6F40">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有下列情形之一的，报四川艺术基金理事会批准后追回已拨经费，并取消项目主体三年以上申报资格，涉嫌违法违纪的，移交有关部门处理。</w:t>
      </w:r>
    </w:p>
    <w:p w14:paraId="4BEF4460">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（一）项目内容及实施过程中出现政治导向问题；</w:t>
      </w:r>
    </w:p>
    <w:p w14:paraId="7737DD0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（二）严重违反财务会计制度规定；</w:t>
      </w:r>
    </w:p>
    <w:p w14:paraId="69AFECB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（三）截留、挪用、侵占、套取项目经费；</w:t>
      </w:r>
    </w:p>
    <w:p w14:paraId="7383AAC2">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（四）拒不配合四川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艺术基金中心项目管理工作；</w:t>
      </w:r>
    </w:p>
    <w:p w14:paraId="51FF0AC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（五）其他违反国家法律、法规及党规党纪的事项。</w:t>
      </w:r>
    </w:p>
    <w:p w14:paraId="2175AE9C">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第二十七条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艺术基金中心按年度检查项目经费的管理和使用情况，项目主体应当积极配合，如实反映情况，提供相关材料。</w:t>
      </w:r>
    </w:p>
    <w:p w14:paraId="5D01FB8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第二十八条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艺术基金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14:paraId="3688BA93">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14:paraId="5A778A3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cs="黑体"/>
          <w:sz w:val="32"/>
          <w:szCs w:val="32"/>
        </w:rPr>
      </w:pPr>
      <w:r>
        <w:rPr>
          <w:rStyle w:val="7"/>
          <w:rFonts w:hint="eastAsia" w:ascii="黑体" w:hAnsi="黑体" w:eastAsia="黑体" w:cs="黑体"/>
          <w:b w:val="0"/>
          <w:bCs w:val="0"/>
          <w:sz w:val="32"/>
          <w:szCs w:val="32"/>
        </w:rPr>
        <w:t>第五章  附则</w:t>
      </w:r>
    </w:p>
    <w:p w14:paraId="4F421A68">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第二十九条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本细则由四川省艺术基金中心负责解释。</w:t>
      </w:r>
    </w:p>
    <w:p w14:paraId="6C1ABD0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第三十条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本细则自发布之日起试行。</w:t>
      </w:r>
    </w:p>
    <w:sectPr>
      <w:footerReference r:id="rId3" w:type="default"/>
      <w:pgSz w:w="11906" w:h="16838"/>
      <w:pgMar w:top="215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E4E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83085">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B83085">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F1"/>
    <w:rsid w:val="000144AD"/>
    <w:rsid w:val="00056818"/>
    <w:rsid w:val="00160061"/>
    <w:rsid w:val="001D39F9"/>
    <w:rsid w:val="00297A15"/>
    <w:rsid w:val="00350EBC"/>
    <w:rsid w:val="003D7853"/>
    <w:rsid w:val="00475DD4"/>
    <w:rsid w:val="005043E2"/>
    <w:rsid w:val="0051651A"/>
    <w:rsid w:val="005B2088"/>
    <w:rsid w:val="00614ADC"/>
    <w:rsid w:val="006864ED"/>
    <w:rsid w:val="006B72A5"/>
    <w:rsid w:val="006F1DBC"/>
    <w:rsid w:val="00721879"/>
    <w:rsid w:val="00800CA1"/>
    <w:rsid w:val="00817ABB"/>
    <w:rsid w:val="008E4780"/>
    <w:rsid w:val="009327F1"/>
    <w:rsid w:val="00A44172"/>
    <w:rsid w:val="00A94250"/>
    <w:rsid w:val="00AA7302"/>
    <w:rsid w:val="00AE75EF"/>
    <w:rsid w:val="00B842F1"/>
    <w:rsid w:val="00BA0B6B"/>
    <w:rsid w:val="00BA2102"/>
    <w:rsid w:val="00C00D9F"/>
    <w:rsid w:val="00C33E31"/>
    <w:rsid w:val="00D05D0F"/>
    <w:rsid w:val="00E71AC5"/>
    <w:rsid w:val="00F2741C"/>
    <w:rsid w:val="01A544B3"/>
    <w:rsid w:val="01D51DA2"/>
    <w:rsid w:val="024535A0"/>
    <w:rsid w:val="02F92BEC"/>
    <w:rsid w:val="0334789D"/>
    <w:rsid w:val="06754465"/>
    <w:rsid w:val="06D55C27"/>
    <w:rsid w:val="0AB62D7C"/>
    <w:rsid w:val="0AD06675"/>
    <w:rsid w:val="0C2F779B"/>
    <w:rsid w:val="0C352FD3"/>
    <w:rsid w:val="0CC92134"/>
    <w:rsid w:val="0DD4438A"/>
    <w:rsid w:val="0F505749"/>
    <w:rsid w:val="11EE77B0"/>
    <w:rsid w:val="174D4F79"/>
    <w:rsid w:val="17862B6C"/>
    <w:rsid w:val="18073A36"/>
    <w:rsid w:val="18BD0C86"/>
    <w:rsid w:val="19341F4D"/>
    <w:rsid w:val="19842934"/>
    <w:rsid w:val="19CA465F"/>
    <w:rsid w:val="1E650894"/>
    <w:rsid w:val="1EE95587"/>
    <w:rsid w:val="1F362114"/>
    <w:rsid w:val="21455725"/>
    <w:rsid w:val="22EE38F2"/>
    <w:rsid w:val="23E266B9"/>
    <w:rsid w:val="257221C0"/>
    <w:rsid w:val="25F65079"/>
    <w:rsid w:val="26B91CE3"/>
    <w:rsid w:val="274B1C5D"/>
    <w:rsid w:val="29B13B22"/>
    <w:rsid w:val="29EF7B98"/>
    <w:rsid w:val="2AF439F5"/>
    <w:rsid w:val="2B250F95"/>
    <w:rsid w:val="2BE80201"/>
    <w:rsid w:val="2ED26038"/>
    <w:rsid w:val="33995376"/>
    <w:rsid w:val="35AF70D3"/>
    <w:rsid w:val="3BC136BC"/>
    <w:rsid w:val="3E2A07D3"/>
    <w:rsid w:val="3EBE2135"/>
    <w:rsid w:val="3EDA10B6"/>
    <w:rsid w:val="400C57E3"/>
    <w:rsid w:val="42192421"/>
    <w:rsid w:val="43350959"/>
    <w:rsid w:val="44093E52"/>
    <w:rsid w:val="448714FC"/>
    <w:rsid w:val="471C5C4A"/>
    <w:rsid w:val="4BF929FE"/>
    <w:rsid w:val="4D2A2D86"/>
    <w:rsid w:val="4F9071D6"/>
    <w:rsid w:val="51AE1F63"/>
    <w:rsid w:val="58557801"/>
    <w:rsid w:val="5FFF5CB2"/>
    <w:rsid w:val="611115BB"/>
    <w:rsid w:val="62600C89"/>
    <w:rsid w:val="633C04EB"/>
    <w:rsid w:val="639853EB"/>
    <w:rsid w:val="64F04AD5"/>
    <w:rsid w:val="65E72B88"/>
    <w:rsid w:val="6A333127"/>
    <w:rsid w:val="6B96571C"/>
    <w:rsid w:val="6C5A2BED"/>
    <w:rsid w:val="6C6E6699"/>
    <w:rsid w:val="6EB505AF"/>
    <w:rsid w:val="70B775EF"/>
    <w:rsid w:val="73BF2A14"/>
    <w:rsid w:val="76C03C65"/>
    <w:rsid w:val="77C57CF0"/>
    <w:rsid w:val="791F31F5"/>
    <w:rsid w:val="7A0845A4"/>
    <w:rsid w:val="7CCF0A8E"/>
    <w:rsid w:val="7CE001D7"/>
    <w:rsid w:val="7D4476CE"/>
    <w:rsid w:val="7E6D055E"/>
    <w:rsid w:val="7E73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3213</Words>
  <Characters>3219</Characters>
  <Lines>24</Lines>
  <Paragraphs>6</Paragraphs>
  <TotalTime>24</TotalTime>
  <ScaleCrop>false</ScaleCrop>
  <LinksUpToDate>false</LinksUpToDate>
  <CharactersWithSpaces>3255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2022-08-30T06:56:00Z</dcterms:created>
  <dc:creator>ASUS</dc:creator>
  <cp:lastModifiedBy>歪歪</cp:lastModifiedBy>
  <dcterms:modified xsi:type="dcterms:W3CDTF">2025-09-18T07:20:07Z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eyJoZGlkIjoiNTIyN2Q1ZGQ1ZTg2OGI3ODIyY2IxNzg1ZTg4MDRiYmYiLCJ1c2VySWQiOiI0MTcwMjM4MTYifQ==</vt:lpwstr>
  </property>
  <property fmtid="{D5CDD505-2E9C-101B-9397-08002B2CF9AE}" pid="4" name="ICV">
    <vt:lpwstr>9B8847D52C29402B853BA40F6932EDE0_13</vt:lpwstr>
  </property>
</Properties>
</file>